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1、PN描述文件可使用CTH2系列的GSDML-V2.31-CoTrust-CTH2_277PN_V0.1-20171106或CTS7系列的GSDML-V2.31-CoTrust-CTS7_277PN_V0.1-20171106；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line="315" w:lineRule="atLeast"/>
        <w:ind w:left="0" w:firstLine="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由于SMART的PLC中，  没有提供 从设备号， 操作从站映射的机制，所以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与1200，1500 PLC的库有所区别，只能让用户提交，PID映射输入输出的起始地址。</w:t>
      </w:r>
    </w:p>
    <w:p>
      <w:pPr>
        <w:keepNext w:val="0"/>
        <w:keepLines w:val="0"/>
        <w:widowControl/>
        <w:numPr>
          <w:numId w:val="0"/>
        </w:numPr>
        <w:suppressLineNumbers w:val="0"/>
        <w:shd w:val="clear" w:fill="FFFFFF"/>
        <w:spacing w:line="315" w:lineRule="atLeast"/>
        <w:ind w:leftChars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133600" cy="31813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F2F688"/>
    <w:multiLevelType w:val="singleLevel"/>
    <w:tmpl w:val="FBF2F68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C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Office_11.1.0.8765_F1E327BC-269C-435d-A152-05C5408002CA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liaogd596</dc:creator>
  <cp:lastModifiedBy>果冻（明慧）</cp:lastModifiedBy>
  <dcterms:modified xsi:type="dcterms:W3CDTF">2019-12-13T01:23:07Z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